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PathfoundHer</w:t>
      </w:r>
    </w:p>
    <w:p>
      <w:pPr>
        <w:pStyle w:val="BodyText"/>
      </w:pPr>
      <w:r>
        <w:rPr>
          <w:bCs/>
          <w:b/>
        </w:rPr>
        <w:t xml:space="preserve">Your First Year</w:t>
      </w:r>
    </w:p>
    <w:p>
      <w:pPr>
        <w:pStyle w:val="BodyText"/>
      </w:pPr>
      <w:r>
        <w:rPr>
          <w:iCs/>
          <w:i/>
        </w:rPr>
        <w:t xml:space="preserve">A plain-English money game for female entrepreneurs</w:t>
      </w:r>
    </w:p>
    <w:p>
      <w:pPr>
        <w:pStyle w:val="BodyText"/>
      </w:pPr>
      <w:r>
        <w:rPr>
          <w:bCs/>
          <w:b/>
        </w:rPr>
        <w:t xml:space="preserve">Facilitator’s Discussion Guide</w:t>
      </w:r>
    </w:p>
    <w:p>
      <w:pPr>
        <w:pStyle w:val="BodyText"/>
      </w:pPr>
      <w:r>
        <w:t xml:space="preserve">For workshop use · in person or online · 90 minutes to half a day</w:t>
      </w:r>
    </w:p>
    <w:p>
      <w:pPr>
        <w:pStyle w:val="BodyText"/>
      </w:pPr>
      <w:r>
        <w:rPr>
          <w:iCs/>
          <w:i/>
        </w:rPr>
        <w:t xml:space="preserve">Finance for non-finance, for female entrepreneurs</w:t>
      </w:r>
    </w:p>
    <w:bookmarkStart w:id="22" w:name="about-the-game"/>
    <w:p>
      <w:pPr>
        <w:pStyle w:val="BodyText"/>
      </w:pPr>
      <w:r>
        <w:rPr>
          <w:b/>
          <w:i w:val="0"/>
        </w:rPr>
        <w:t>How you may use this guide</w:t>
      </w:r>
    </w:p>
    <w:p>
      <w:pPr>
        <w:pStyle w:val="BodyText"/>
      </w:pPr>
      <w:r>
        <w:rPr>
          <w:b w:val="0"/>
          <w:i w:val="0"/>
        </w:rPr>
        <w:t>This guide is free to use. If you are an individual facilitator, mentor or community volunteer running informal or unfunded sessions, please take it and use it with our blessing — no permission needed.</w:t>
      </w:r>
    </w:p>
    <w:p>
      <w:pPr>
        <w:pStyle w:val="BodyText"/>
      </w:pPr>
      <w:r>
        <w:rPr>
          <w:b w:val="0"/>
          <w:i w:val="0"/>
        </w:rPr>
        <w:t>If your organisation runs funded, paid, accredited or commercially delivered programmes, you will need a PathfoundHer programme licence. A licence covers your right to run the game within your programmes, and adds your branding on the game, cohort-level outcome reporting for your funders, a train-the-trainer session, printable packs and ongoing updates. Enquire at hello@pathfoundher.co.uk.</w:t>
      </w:r>
    </w:p>
    <w:p>
      <w:pPr>
        <w:pStyle w:val="BodyText"/>
      </w:pPr>
      <w:r>
        <w:rPr>
          <w:b w:val="0"/>
          <w:i w:val="0"/>
        </w:rPr>
      </w:r>
    </w:p>
    <w:p>
      <w:pPr>
        <w:pStyle w:val="Heading1"/>
      </w:pPr>
      <w:r>
        <w:t xml:space="preserve">1. About the game</w:t>
      </w:r>
    </w:p>
    <w:p>
      <w:pPr>
        <w:pStyle w:val="FirstParagraph"/>
      </w:pPr>
      <w:r>
        <w:t xml:space="preserve">Your First Year is a decision-based simulation in which small teams run a fictional business through twelve months of real founder finance: pricing, fixed costs, a big order with 60-day payment terms, a surprise bill, a late payer, hiring help, the tax pot, a seasonal stock bet, price pressure, and the January tax letter. Every decision shows its consequences in pounds, followed by a plain-English lesson.</w:t>
      </w:r>
    </w:p>
    <w:p>
      <w:pPr>
        <w:pStyle w:val="BodyText"/>
      </w:pPr>
      <w:r>
        <w:t xml:space="preserve">The game exists in two forms that share the same twelve months and the same numbers: a digital version (played on a phone, tablet or laptop, with a choice of four businesses — candles, catering, consulting, and an online boutique) and a printable pack for rooms without screens (the candle scenario, with a paper money tracker).</w:t>
      </w:r>
    </w:p>
    <w:bookmarkStart w:id="20" w:name="who-it-is-for"/>
    <w:p>
      <w:pPr>
        <w:pStyle w:val="Heading2"/>
      </w:pPr>
      <w:r>
        <w:t xml:space="preserve">Who it is for</w:t>
      </w:r>
    </w:p>
    <w:p>
      <w:pPr>
        <w:pStyle w:val="FirstParagraph"/>
      </w:pPr>
      <w:r>
        <w:t xml:space="preserve">Women who are starting or running a small business and who would not describe themselves as</w:t>
      </w:r>
      <w:r>
        <w:t xml:space="preserve"> </w:t>
      </w:r>
      <w:r>
        <w:t xml:space="preserve">‘</w:t>
      </w:r>
      <w:r>
        <w:t xml:space="preserve">numbers people</w:t>
      </w:r>
      <w:r>
        <w:t xml:space="preserve">’</w:t>
      </w:r>
      <w:r>
        <w:t xml:space="preserve">. No prior financial knowledge is assumed, and no jargon appears without a translation. The game is designed to be safe to get wrong: every poor outcome in the game is a cheap version of an expensive real-world lesson.</w:t>
      </w:r>
    </w:p>
    <w:bookmarkEnd w:id="20"/>
    <w:bookmarkStart w:id="21" w:name="what-participants-will-take-away"/>
    <w:p>
      <w:pPr>
        <w:pStyle w:val="Heading2"/>
      </w:pPr>
      <w:r>
        <w:t xml:space="preserve">What participants will take away</w:t>
      </w:r>
    </w:p>
    <w:p>
      <w:pPr>
        <w:pStyle w:val="FirstParagraph"/>
      </w:pPr>
      <w:r>
        <w:t xml:space="preserve">By the end of a session, participants can explain in their own words:</w:t>
      </w:r>
    </w:p>
    <w:p>
      <w:pPr>
        <w:numPr>
          <w:ilvl w:val="0"/>
          <w:numId w:val="1001"/>
        </w:numPr>
      </w:pPr>
      <w:r>
        <w:t xml:space="preserve">Margin — and why underpricing is the most common founder trap</w:t>
      </w:r>
    </w:p>
    <w:p>
      <w:pPr>
        <w:numPr>
          <w:ilvl w:val="0"/>
          <w:numId w:val="1001"/>
        </w:numPr>
      </w:pPr>
      <w:r>
        <w:t xml:space="preserve">Cash flow versus profit — why profitable businesses still run out of money</w:t>
      </w:r>
    </w:p>
    <w:p>
      <w:pPr>
        <w:numPr>
          <w:ilvl w:val="0"/>
          <w:numId w:val="1001"/>
        </w:numPr>
      </w:pPr>
      <w:r>
        <w:t xml:space="preserve">Fixed costs and break-even — what a monthly bill really demands in sales</w:t>
      </w:r>
    </w:p>
    <w:p>
      <w:pPr>
        <w:numPr>
          <w:ilvl w:val="0"/>
          <w:numId w:val="1001"/>
        </w:numPr>
      </w:pPr>
      <w:r>
        <w:t xml:space="preserve">Payment terms, deposits and credit control — how to get paid, politely</w:t>
      </w:r>
    </w:p>
    <w:p>
      <w:pPr>
        <w:numPr>
          <w:ilvl w:val="0"/>
          <w:numId w:val="1001"/>
        </w:numPr>
      </w:pPr>
      <w:r>
        <w:t xml:space="preserve">The tax pot — how UK Self Assessment works and how to make January boring</w:t>
      </w:r>
    </w:p>
    <w:p>
      <w:pPr>
        <w:numPr>
          <w:ilvl w:val="0"/>
          <w:numId w:val="1001"/>
        </w:numPr>
      </w:pPr>
      <w:r>
        <w:t xml:space="preserve">Stock and forecasting — sizing bets on evidence rather than hope</w:t>
      </w:r>
    </w:p>
    <w:p>
      <w:pPr>
        <w:numPr>
          <w:ilvl w:val="0"/>
          <w:numId w:val="1001"/>
        </w:numPr>
      </w:pPr>
      <w:r>
        <w:t xml:space="preserve">Return on spend, recurring revenue, and the cost of their own time</w:t>
      </w:r>
    </w:p>
    <w:bookmarkEnd w:id="21"/>
    <w:bookmarkEnd w:id="22"/>
    <w:bookmarkStart w:id="23" w:name="choosing-your-format"/>
    <w:p>
      <w:pPr>
        <w:pStyle w:val="Heading1"/>
      </w:pPr>
      <w:r>
        <w:t xml:space="preserve">2. Choosing your format</w:t>
      </w:r>
    </w:p>
    <w:p>
      <w:pPr>
        <w:pStyle w:val="FirstParagraph"/>
      </w:pPr>
      <w:r>
        <w:t xml:space="preserve">The game works self-paced, but the confidence shift happens in conversation. Wherever possible, play in teams and talk between months.</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rPr>
                <w:bCs/>
                <w:b/>
              </w:rPr>
              <w:t xml:space="preserve">Format</w:t>
            </w:r>
          </w:p>
        </w:tc>
        <w:tc>
          <w:tcPr/>
          <w:p>
            <w:pPr>
              <w:pStyle w:val="Compact"/>
              <w:jc w:val="left"/>
            </w:pPr>
            <w:r>
              <w:rPr>
                <w:bCs/>
                <w:b/>
              </w:rPr>
              <w:t xml:space="preserve">Best for</w:t>
            </w:r>
          </w:p>
        </w:tc>
        <w:tc>
          <w:tcPr/>
          <w:p>
            <w:pPr>
              <w:pStyle w:val="Compact"/>
              <w:jc w:val="left"/>
            </w:pPr>
            <w:r>
              <w:rPr>
                <w:bCs/>
                <w:b/>
              </w:rPr>
              <w:t xml:space="preserve">Notes</w:t>
            </w:r>
          </w:p>
        </w:tc>
      </w:tr>
      <w:tr>
        <w:tc>
          <w:tcPr/>
          <w:p>
            <w:pPr>
              <w:pStyle w:val="Compact"/>
              <w:jc w:val="left"/>
            </w:pPr>
            <w:r>
              <w:t xml:space="preserve">In-person workshop</w:t>
            </w:r>
          </w:p>
        </w:tc>
        <w:tc>
          <w:tcPr/>
          <w:p>
            <w:pPr>
              <w:pStyle w:val="Compact"/>
              <w:jc w:val="left"/>
            </w:pPr>
            <w:r>
              <w:t xml:space="preserve">Deep discussion, peer bonding, low-confidence groups</w:t>
            </w:r>
          </w:p>
        </w:tc>
        <w:tc>
          <w:tcPr/>
          <w:p>
            <w:pPr>
              <w:pStyle w:val="Compact"/>
              <w:jc w:val="left"/>
            </w:pPr>
            <w:r>
              <w:t xml:space="preserve">Teams of 3–4 around a table; one phone/laptop per team, or the printed pack. Flipchart for the April cash-flow timeline.</w:t>
            </w:r>
          </w:p>
        </w:tc>
      </w:tr>
      <w:tr>
        <w:tc>
          <w:tcPr/>
          <w:p>
            <w:pPr>
              <w:pStyle w:val="Compact"/>
              <w:jc w:val="left"/>
            </w:pPr>
            <w:r>
              <w:t xml:space="preserve">Online workshop</w:t>
            </w:r>
          </w:p>
        </w:tc>
        <w:tc>
          <w:tcPr/>
          <w:p>
            <w:pPr>
              <w:pStyle w:val="Compact"/>
              <w:jc w:val="left"/>
            </w:pPr>
            <w:r>
              <w:t xml:space="preserve">Geographic reach, busy schedules</w:t>
            </w:r>
          </w:p>
        </w:tc>
        <w:tc>
          <w:tcPr/>
          <w:p>
            <w:pPr>
              <w:pStyle w:val="Compact"/>
              <w:jc w:val="left"/>
            </w:pPr>
            <w:r>
              <w:t xml:space="preserve">Video call with breakout rooms as teams; one person per team shares their screen and plays. Reconvene after months 4, 8 and 12.</w:t>
            </w:r>
          </w:p>
        </w:tc>
      </w:tr>
      <w:tr>
        <w:tc>
          <w:tcPr/>
          <w:p>
            <w:pPr>
              <w:pStyle w:val="Compact"/>
              <w:jc w:val="left"/>
            </w:pPr>
            <w:r>
              <w:t xml:space="preserve">Self-paced digital</w:t>
            </w:r>
          </w:p>
        </w:tc>
        <w:tc>
          <w:tcPr/>
          <w:p>
            <w:pPr>
              <w:pStyle w:val="Compact"/>
              <w:jc w:val="left"/>
            </w:pPr>
            <w:r>
              <w:t xml:space="preserve">Pre-work or follow-up</w:t>
            </w:r>
          </w:p>
        </w:tc>
        <w:tc>
          <w:tcPr/>
          <w:p>
            <w:pPr>
              <w:pStyle w:val="Compact"/>
              <w:jc w:val="left"/>
            </w:pPr>
            <w:r>
              <w:t xml:space="preserve">Send the game link a week before the workshop, or afterwards with a different business scenario to replay.</w:t>
            </w:r>
          </w:p>
        </w:tc>
      </w:tr>
      <w:tr>
        <w:tc>
          <w:tcPr/>
          <w:p>
            <w:pPr>
              <w:pStyle w:val="Compact"/>
              <w:jc w:val="left"/>
            </w:pPr>
            <w:r>
              <w:t xml:space="preserve">Hybrid (recommended)</w:t>
            </w:r>
          </w:p>
        </w:tc>
        <w:tc>
          <w:tcPr/>
          <w:p>
            <w:pPr>
              <w:pStyle w:val="Compact"/>
              <w:jc w:val="left"/>
            </w:pPr>
            <w:r>
              <w:t xml:space="preserve">Programmes and cohorts</w:t>
            </w:r>
          </w:p>
        </w:tc>
        <w:tc>
          <w:tcPr/>
          <w:p>
            <w:pPr>
              <w:pStyle w:val="Compact"/>
              <w:jc w:val="left"/>
            </w:pPr>
            <w:r>
              <w:t xml:space="preserve">Digital game as pre-work, facilitated session for discussion, replay with a second business as follow-up.</w:t>
            </w:r>
          </w:p>
        </w:tc>
      </w:tr>
    </w:tbl>
    <w:bookmarkEnd w:id="23"/>
    <w:bookmarkStart w:id="24" w:name="before-the-session"/>
    <w:p>
      <w:pPr>
        <w:pStyle w:val="Heading1"/>
      </w:pPr>
      <w:r>
        <w:t xml:space="preserve">3. Before the session</w:t>
      </w:r>
    </w:p>
    <w:p>
      <w:pPr>
        <w:numPr>
          <w:ilvl w:val="0"/>
          <w:numId w:val="1002"/>
        </w:numPr>
      </w:pPr>
      <w:r>
        <w:t xml:space="preserve">Play the game yourself at least twice, taking different paths — especially both April options (deposit versus full terms), since they branch the June scenario.</w:t>
      </w:r>
    </w:p>
    <w:p>
      <w:pPr>
        <w:numPr>
          <w:ilvl w:val="0"/>
          <w:numId w:val="1002"/>
        </w:numPr>
      </w:pPr>
      <w:r>
        <w:t xml:space="preserve">Decide teams in advance: 3–4 people, mixed business types if possible. Decisions must be argued out loud — that argument is the learning.</w:t>
      </w:r>
    </w:p>
    <w:p>
      <w:pPr>
        <w:numPr>
          <w:ilvl w:val="0"/>
          <w:numId w:val="1002"/>
        </w:numPr>
      </w:pPr>
      <w:r>
        <w:t xml:space="preserve">In person: one device per team or one printed pack per team, plus pens and the paper money tracker. Online: test breakout rooms and screen sharing.</w:t>
      </w:r>
    </w:p>
    <w:p>
      <w:pPr>
        <w:numPr>
          <w:ilvl w:val="0"/>
          <w:numId w:val="1002"/>
        </w:numPr>
      </w:pPr>
      <w:r>
        <w:t xml:space="preserve">Prepare a flipchart or slide for the April timeline: £900 out today, £1,500 in 60 days later.</w:t>
      </w:r>
    </w:p>
    <w:p>
      <w:pPr>
        <w:numPr>
          <w:ilvl w:val="0"/>
          <w:numId w:val="1002"/>
        </w:numPr>
      </w:pPr>
      <w:r>
        <w:t xml:space="preserve">Have local signposting ready: your local Growth Hub, women-in-business networks, and where to find an accountant. Keep it general — this session is education, not individual financial advice.</w:t>
      </w:r>
    </w:p>
    <w:bookmarkEnd w:id="24"/>
    <w:bookmarkStart w:id="25" w:name="the-90-minute-session-plan"/>
    <w:p>
      <w:pPr>
        <w:pStyle w:val="Heading1"/>
      </w:pPr>
      <w:r>
        <w:t xml:space="preserve">4. The 90-minute session plan</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rPr>
                <w:bCs/>
                <w:b/>
              </w:rPr>
              <w:t xml:space="preserve">Time</w:t>
            </w:r>
          </w:p>
        </w:tc>
        <w:tc>
          <w:tcPr/>
          <w:p>
            <w:pPr>
              <w:pStyle w:val="Compact"/>
              <w:jc w:val="left"/>
            </w:pPr>
            <w:r>
              <w:rPr>
                <w:bCs/>
                <w:b/>
              </w:rPr>
              <w:t xml:space="preserve">Segment</w:t>
            </w:r>
          </w:p>
        </w:tc>
        <w:tc>
          <w:tcPr/>
          <w:p>
            <w:pPr>
              <w:pStyle w:val="Compact"/>
              <w:jc w:val="left"/>
            </w:pPr>
            <w:r>
              <w:rPr>
                <w:bCs/>
                <w:b/>
              </w:rPr>
              <w:t xml:space="preserve">What happens</w:t>
            </w:r>
          </w:p>
        </w:tc>
      </w:tr>
      <w:tr>
        <w:tc>
          <w:tcPr/>
          <w:p>
            <w:pPr>
              <w:pStyle w:val="Compact"/>
              <w:jc w:val="left"/>
            </w:pPr>
            <w:r>
              <w:t xml:space="preserve">0:00–0:10</w:t>
            </w:r>
          </w:p>
        </w:tc>
        <w:tc>
          <w:tcPr/>
          <w:p>
            <w:pPr>
              <w:pStyle w:val="Compact"/>
              <w:jc w:val="left"/>
            </w:pPr>
            <w:r>
              <w:t xml:space="preserve">Welcome &amp; money stories</w:t>
            </w:r>
          </w:p>
        </w:tc>
        <w:tc>
          <w:tcPr/>
          <w:p>
            <w:pPr>
              <w:pStyle w:val="Compact"/>
              <w:jc w:val="left"/>
            </w:pPr>
            <w:r>
              <w:t xml:space="preserve">Icebreaker:</w:t>
            </w:r>
            <w:r>
              <w:t xml:space="preserve"> </w:t>
            </w:r>
            <w:r>
              <w:t xml:space="preserve">‘</w:t>
            </w:r>
            <w:r>
              <w:t xml:space="preserve">the best or worst money decision I’ve seen a business make</w:t>
            </w:r>
            <w:r>
              <w:t xml:space="preserve">’</w:t>
            </w:r>
            <w:r>
              <w:t xml:space="preserve">. Establish the no-judgement rule (see section 7).</w:t>
            </w:r>
          </w:p>
        </w:tc>
      </w:tr>
      <w:tr>
        <w:tc>
          <w:tcPr/>
          <w:p>
            <w:pPr>
              <w:pStyle w:val="Compact"/>
              <w:jc w:val="left"/>
            </w:pPr>
            <w:r>
              <w:t xml:space="preserve">0:10–0:15</w:t>
            </w:r>
          </w:p>
        </w:tc>
        <w:tc>
          <w:tcPr/>
          <w:p>
            <w:pPr>
              <w:pStyle w:val="Compact"/>
              <w:jc w:val="left"/>
            </w:pPr>
            <w:r>
              <w:t xml:space="preserve">How to play</w:t>
            </w:r>
          </w:p>
        </w:tc>
        <w:tc>
          <w:tcPr/>
          <w:p>
            <w:pPr>
              <w:pStyle w:val="Compact"/>
              <w:jc w:val="left"/>
            </w:pPr>
            <w:r>
              <w:t xml:space="preserve">Explain the setup: £1,000 of savings, twelve months, decide as a team, dotted words can be tapped (or looked up in the glossary) for plain English.</w:t>
            </w:r>
          </w:p>
        </w:tc>
      </w:tr>
      <w:tr>
        <w:tc>
          <w:tcPr/>
          <w:p>
            <w:pPr>
              <w:pStyle w:val="Compact"/>
              <w:jc w:val="left"/>
            </w:pPr>
            <w:r>
              <w:t xml:space="preserve">0:15–0:35</w:t>
            </w:r>
          </w:p>
        </w:tc>
        <w:tc>
          <w:tcPr/>
          <w:p>
            <w:pPr>
              <w:pStyle w:val="Compact"/>
              <w:jc w:val="left"/>
            </w:pPr>
            <w:r>
              <w:t xml:space="preserve">Months 1–4</w:t>
            </w:r>
          </w:p>
        </w:tc>
        <w:tc>
          <w:tcPr/>
          <w:p>
            <w:pPr>
              <w:pStyle w:val="Compact"/>
              <w:jc w:val="left"/>
            </w:pPr>
            <w:r>
              <w:t xml:space="preserve">Teams play. Pause everyone at the end of April for the cash-flow-versus-profit discussion — the game’s most important ten minutes.</w:t>
            </w:r>
          </w:p>
        </w:tc>
      </w:tr>
      <w:tr>
        <w:tc>
          <w:tcPr/>
          <w:p>
            <w:pPr>
              <w:pStyle w:val="Compact"/>
              <w:jc w:val="left"/>
            </w:pPr>
            <w:r>
              <w:t xml:space="preserve">0:35–0:55</w:t>
            </w:r>
          </w:p>
        </w:tc>
        <w:tc>
          <w:tcPr/>
          <w:p>
            <w:pPr>
              <w:pStyle w:val="Compact"/>
              <w:jc w:val="left"/>
            </w:pPr>
            <w:r>
              <w:t xml:space="preserve">Months 5–8</w:t>
            </w:r>
          </w:p>
        </w:tc>
        <w:tc>
          <w:tcPr/>
          <w:p>
            <w:pPr>
              <w:pStyle w:val="Compact"/>
              <w:jc w:val="left"/>
            </w:pPr>
            <w:r>
              <w:t xml:space="preserve">Teams play on. Circulate and listen; collect quotes to use in the debrief. Pause after August for a quick tax-pot show of hands.</w:t>
            </w:r>
          </w:p>
        </w:tc>
      </w:tr>
      <w:tr>
        <w:tc>
          <w:tcPr/>
          <w:p>
            <w:pPr>
              <w:pStyle w:val="Compact"/>
              <w:jc w:val="left"/>
            </w:pPr>
            <w:r>
              <w:t xml:space="preserve">0:55–1:10</w:t>
            </w:r>
          </w:p>
        </w:tc>
        <w:tc>
          <w:tcPr/>
          <w:p>
            <w:pPr>
              <w:pStyle w:val="Compact"/>
              <w:jc w:val="left"/>
            </w:pPr>
            <w:r>
              <w:t xml:space="preserve">Months 9–12</w:t>
            </w:r>
          </w:p>
        </w:tc>
        <w:tc>
          <w:tcPr/>
          <w:p>
            <w:pPr>
              <w:pStyle w:val="Compact"/>
              <w:jc w:val="left"/>
            </w:pPr>
            <w:r>
              <w:t xml:space="preserve">Before December: each team publicly forecasts its own December takings. Play the reveal and the January letter.</w:t>
            </w:r>
          </w:p>
        </w:tc>
      </w:tr>
      <w:tr>
        <w:tc>
          <w:tcPr/>
          <w:p>
            <w:pPr>
              <w:pStyle w:val="Compact"/>
              <w:jc w:val="left"/>
            </w:pPr>
            <w:r>
              <w:t xml:space="preserve">1:10–1:30</w:t>
            </w:r>
          </w:p>
        </w:tc>
        <w:tc>
          <w:tcPr/>
          <w:p>
            <w:pPr>
              <w:pStyle w:val="Compact"/>
              <w:jc w:val="left"/>
            </w:pPr>
            <w:r>
              <w:t xml:space="preserve">Debrief</w:t>
            </w:r>
          </w:p>
        </w:tc>
        <w:tc>
          <w:tcPr/>
          <w:p>
            <w:pPr>
              <w:pStyle w:val="Compact"/>
              <w:jc w:val="left"/>
            </w:pPr>
            <w:r>
              <w:t xml:space="preserve">Endings read aloud, key questions (section 6), and one written commitment per person:</w:t>
            </w:r>
            <w:r>
              <w:t xml:space="preserve"> </w:t>
            </w:r>
            <w:r>
              <w:t xml:space="preserve">‘</w:t>
            </w:r>
            <w:r>
              <w:t xml:space="preserve">the first thing I’ll change in my real business</w:t>
            </w:r>
            <w:r>
              <w:t xml:space="preserve">’</w:t>
            </w:r>
            <w:r>
              <w:t xml:space="preserve">.</w:t>
            </w:r>
          </w:p>
        </w:tc>
      </w:tr>
    </w:tbl>
    <w:p>
      <w:pPr>
        <w:pStyle w:val="BodyText"/>
      </w:pPr>
      <w:r>
        <w:rPr>
          <w:bCs/>
          <w:b/>
        </w:rPr>
        <w:t xml:space="preserve">Half-day option:</w:t>
      </w:r>
      <w:r>
        <w:rPr>
          <w:bCs/>
          <w:b/>
        </w:rPr>
        <w:t xml:space="preserve"> </w:t>
      </w:r>
      <w:r>
        <w:t xml:space="preserve">insert a discussion break after every month using the month-by-month notes below, add a real-numbers session where participants apply one concept (usually margin or the tax pot) to their own business, and finish with a replay of a different business scenario.</w:t>
      </w:r>
    </w:p>
    <w:bookmarkEnd w:id="25"/>
    <w:bookmarkStart w:id="38" w:name="month-by-month-facilitation-notes"/>
    <w:p>
      <w:pPr>
        <w:pStyle w:val="Heading1"/>
      </w:pPr>
      <w:r>
        <w:t xml:space="preserve">5. Month-by-month facilitation notes</w:t>
      </w:r>
    </w:p>
    <w:p>
      <w:pPr>
        <w:pStyle w:val="FirstParagraph"/>
      </w:pPr>
      <w:r>
        <w:t xml:space="preserve">Each month below lists the concept, discussion questions to ask when teams pause, and a facilitation note on what typically happens in the room.</w:t>
      </w:r>
    </w:p>
    <w:bookmarkStart w:id="26" w:name="january-pricing-with-confidence"/>
    <w:p>
      <w:pPr>
        <w:pStyle w:val="Heading2"/>
      </w:pPr>
      <w:r>
        <w:t xml:space="preserve">January — Pricing with confidence</w:t>
      </w:r>
    </w:p>
    <w:p>
      <w:pPr>
        <w:pStyle w:val="FirstParagraph"/>
      </w:pPr>
      <w:r>
        <w:rPr>
          <w:bCs/>
          <w:b/>
        </w:rPr>
        <w:t xml:space="preserve">The concept:</w:t>
      </w:r>
      <w:r>
        <w:rPr>
          <w:bCs/>
          <w:b/>
        </w:rPr>
        <w:t xml:space="preserve"> </w:t>
      </w:r>
      <w:r>
        <w:t xml:space="preserve">margin — the slice of each sale that is actually yours.</w:t>
      </w:r>
    </w:p>
    <w:p>
      <w:pPr>
        <w:pStyle w:val="BodyText"/>
      </w:pPr>
      <w:r>
        <w:rPr>
          <w:bCs/>
          <w:b/>
        </w:rPr>
        <w:t xml:space="preserve">Ask the room:</w:t>
      </w:r>
    </w:p>
    <w:p>
      <w:pPr>
        <w:numPr>
          <w:ilvl w:val="0"/>
          <w:numId w:val="1003"/>
        </w:numPr>
      </w:pPr>
      <w:r>
        <w:t xml:space="preserve">Why do so many of us instinctively choose the lowest price? What are we afraid will happen if we charge more?</w:t>
      </w:r>
    </w:p>
    <w:p>
      <w:pPr>
        <w:numPr>
          <w:ilvl w:val="0"/>
          <w:numId w:val="1003"/>
        </w:numPr>
      </w:pPr>
      <w:r>
        <w:t xml:space="preserve">In your real business, what would change if you raised your price by 20% tomorrow?</w:t>
      </w:r>
    </w:p>
    <w:p>
      <w:pPr>
        <w:numPr>
          <w:ilvl w:val="0"/>
          <w:numId w:val="1003"/>
        </w:numPr>
      </w:pPr>
      <w:r>
        <w:t xml:space="preserve">Is being fully booked or sold out always good news?</w:t>
      </w:r>
    </w:p>
    <w:p>
      <w:pPr>
        <w:pStyle w:val="FirstParagraph"/>
      </w:pPr>
      <w:r>
        <w:rPr>
          <w:bCs/>
          <w:b/>
        </w:rPr>
        <w:t xml:space="preserve">In the room:</w:t>
      </w:r>
      <w:r>
        <w:rPr>
          <w:bCs/>
          <w:b/>
        </w:rPr>
        <w:t xml:space="preserve"> </w:t>
      </w:r>
      <w:r>
        <w:t xml:space="preserve">Almost every group has someone who chose the lowest price</w:t>
      </w:r>
      <w:r>
        <w:t xml:space="preserve"> </w:t>
      </w:r>
      <w:r>
        <w:t xml:space="preserve">‘</w:t>
      </w:r>
      <w:r>
        <w:t xml:space="preserve">to be nice</w:t>
      </w:r>
      <w:r>
        <w:t xml:space="preserve">’</w:t>
      </w:r>
      <w:r>
        <w:t xml:space="preserve"> </w:t>
      </w:r>
      <w:r>
        <w:t xml:space="preserve">or</w:t>
      </w:r>
      <w:r>
        <w:t xml:space="preserve"> </w:t>
      </w:r>
      <w:r>
        <w:t xml:space="preserve">‘</w:t>
      </w:r>
      <w:r>
        <w:t xml:space="preserve">to get started</w:t>
      </w:r>
      <w:r>
        <w:t xml:space="preserve">’</w:t>
      </w:r>
      <w:r>
        <w:t xml:space="preserve">. Name the pattern warmly, without judgement — research consistently finds women founders undercharge relative to men. This month sets the tone: the game rewards confidence, and so does real life.</w:t>
      </w:r>
    </w:p>
    <w:bookmarkEnd w:id="26"/>
    <w:bookmarkStart w:id="27" w:name="february-fixed-costs-and-break-even"/>
    <w:p>
      <w:pPr>
        <w:pStyle w:val="Heading2"/>
      </w:pPr>
      <w:r>
        <w:t xml:space="preserve">February — Fixed costs and break-even</w:t>
      </w:r>
    </w:p>
    <w:p>
      <w:pPr>
        <w:pStyle w:val="FirstParagraph"/>
      </w:pPr>
      <w:r>
        <w:rPr>
          <w:bCs/>
          <w:b/>
        </w:rPr>
        <w:t xml:space="preserve">The concept:</w:t>
      </w:r>
      <w:r>
        <w:rPr>
          <w:bCs/>
          <w:b/>
        </w:rPr>
        <w:t xml:space="preserve"> </w:t>
      </w:r>
      <w:r>
        <w:t xml:space="preserve">fixed costs and break-even — bills that arrive whether or not you sell.</w:t>
      </w:r>
    </w:p>
    <w:p>
      <w:pPr>
        <w:pStyle w:val="BodyText"/>
      </w:pPr>
      <w:r>
        <w:rPr>
          <w:bCs/>
          <w:b/>
        </w:rPr>
        <w:t xml:space="preserve">Ask the room:</w:t>
      </w:r>
    </w:p>
    <w:p>
      <w:pPr>
        <w:numPr>
          <w:ilvl w:val="0"/>
          <w:numId w:val="1004"/>
        </w:numPr>
      </w:pPr>
      <w:r>
        <w:t xml:space="preserve">How many extra sales does the rent really cost each month? Work it out together — it is one division sum.</w:t>
      </w:r>
    </w:p>
    <w:p>
      <w:pPr>
        <w:numPr>
          <w:ilvl w:val="0"/>
          <w:numId w:val="1004"/>
        </w:numPr>
      </w:pPr>
      <w:r>
        <w:t xml:space="preserve">What fixed costs have you taken on (or are tempted by) in your real business? What sales do they demand?</w:t>
      </w:r>
    </w:p>
    <w:p>
      <w:pPr>
        <w:numPr>
          <w:ilvl w:val="0"/>
          <w:numId w:val="1004"/>
        </w:numPr>
      </w:pPr>
      <w:r>
        <w:t xml:space="preserve">When is it right to take on a fixed cost before the sales exist?</w:t>
      </w:r>
    </w:p>
    <w:p>
      <w:pPr>
        <w:pStyle w:val="FirstParagraph"/>
      </w:pPr>
      <w:r>
        <w:rPr>
          <w:bCs/>
          <w:b/>
        </w:rPr>
        <w:t xml:space="preserve">In the room:</w:t>
      </w:r>
      <w:r>
        <w:rPr>
          <w:bCs/>
          <w:b/>
        </w:rPr>
        <w:t xml:space="preserve"> </w:t>
      </w:r>
      <w:r>
        <w:t xml:space="preserve">The key move is turning £250 of rent into</w:t>
      </w:r>
      <w:r>
        <w:t xml:space="preserve"> </w:t>
      </w:r>
      <w:r>
        <w:t xml:space="preserve">‘</w:t>
      </w:r>
      <w:r>
        <w:t xml:space="preserve">X sales, every month, before you earn a penny</w:t>
      </w:r>
      <w:r>
        <w:t xml:space="preserve">’</w:t>
      </w:r>
      <w:r>
        <w:t xml:space="preserve">. Once participants convert money into</w:t>
      </w:r>
      <w:r>
        <w:t xml:space="preserve"> </w:t>
      </w:r>
      <w:r>
        <w:t xml:space="preserve">‘</w:t>
      </w:r>
      <w:r>
        <w:t xml:space="preserve">how many of my thing</w:t>
      </w:r>
      <w:r>
        <w:t xml:space="preserve">’</w:t>
      </w:r>
      <w:r>
        <w:t xml:space="preserve">, break-even stops being an accounting word and becomes a gut feeling.</w:t>
      </w:r>
    </w:p>
    <w:bookmarkEnd w:id="27"/>
    <w:bookmarkStart w:id="28" w:name="march-return-on-marketing-spend"/>
    <w:p>
      <w:pPr>
        <w:pStyle w:val="Heading2"/>
      </w:pPr>
      <w:r>
        <w:t xml:space="preserve">March — Return on marketing spend</w:t>
      </w:r>
    </w:p>
    <w:p>
      <w:pPr>
        <w:pStyle w:val="FirstParagraph"/>
      </w:pPr>
      <w:r>
        <w:rPr>
          <w:bCs/>
          <w:b/>
        </w:rPr>
        <w:t xml:space="preserve">The concept:</w:t>
      </w:r>
      <w:r>
        <w:rPr>
          <w:bCs/>
          <w:b/>
        </w:rPr>
        <w:t xml:space="preserve"> </w:t>
      </w:r>
      <w:r>
        <w:t xml:space="preserve">return on spend — what came back for every pound that went in.</w:t>
      </w:r>
    </w:p>
    <w:p>
      <w:pPr>
        <w:pStyle w:val="BodyText"/>
      </w:pPr>
      <w:r>
        <w:rPr>
          <w:bCs/>
          <w:b/>
        </w:rPr>
        <w:t xml:space="preserve">Ask the room:</w:t>
      </w:r>
    </w:p>
    <w:p>
      <w:pPr>
        <w:numPr>
          <w:ilvl w:val="0"/>
          <w:numId w:val="1005"/>
        </w:numPr>
      </w:pPr>
      <w:r>
        <w:t xml:space="preserve">What makes marketing spend feel like gambling? What would make it feel like an experiment?</w:t>
      </w:r>
    </w:p>
    <w:p>
      <w:pPr>
        <w:numPr>
          <w:ilvl w:val="0"/>
          <w:numId w:val="1005"/>
        </w:numPr>
      </w:pPr>
      <w:r>
        <w:t xml:space="preserve">How would you actually measure whether £200 of marketing worked in your business?</w:t>
      </w:r>
    </w:p>
    <w:p>
      <w:pPr>
        <w:numPr>
          <w:ilvl w:val="0"/>
          <w:numId w:val="1005"/>
        </w:numPr>
      </w:pPr>
      <w:r>
        <w:t xml:space="preserve">What does</w:t>
      </w:r>
      <w:r>
        <w:t xml:space="preserve"> </w:t>
      </w:r>
      <w:r>
        <w:t xml:space="preserve">‘</w:t>
      </w:r>
      <w:r>
        <w:t xml:space="preserve">spending nothing</w:t>
      </w:r>
      <w:r>
        <w:t xml:space="preserve">’</w:t>
      </w:r>
      <w:r>
        <w:t xml:space="preserve"> </w:t>
      </w:r>
      <w:r>
        <w:t xml:space="preserve">quietly cost?</w:t>
      </w:r>
    </w:p>
    <w:p>
      <w:pPr>
        <w:pStyle w:val="FirstParagraph"/>
      </w:pPr>
      <w:r>
        <w:rPr>
          <w:bCs/>
          <w:b/>
        </w:rPr>
        <w:t xml:space="preserve">In the room:</w:t>
      </w:r>
      <w:r>
        <w:rPr>
          <w:bCs/>
          <w:b/>
        </w:rPr>
        <w:t xml:space="preserve"> </w:t>
      </w:r>
      <w:r>
        <w:t xml:space="preserve">Push gently past</w:t>
      </w:r>
      <w:r>
        <w:t xml:space="preserve"> </w:t>
      </w:r>
      <w:r>
        <w:t xml:space="preserve">‘</w:t>
      </w:r>
      <w:r>
        <w:t xml:space="preserve">ads don’t work for businesses like mine</w:t>
      </w:r>
      <w:r>
        <w:t xml:space="preserve">’</w:t>
      </w:r>
      <w:r>
        <w:t xml:space="preserve">. The teachable move is test small, measure, then decide — not spend big or spend nothing.</w:t>
      </w:r>
    </w:p>
    <w:bookmarkEnd w:id="28"/>
    <w:bookmarkStart w:id="29" w:name="X2d586d1ee872781d1edfac46700ab89ad9876ad"/>
    <w:p>
      <w:pPr>
        <w:pStyle w:val="Heading2"/>
      </w:pPr>
      <w:r>
        <w:t xml:space="preserve">April — The big order: cash flow versus profit</w:t>
      </w:r>
    </w:p>
    <w:p>
      <w:pPr>
        <w:pStyle w:val="FirstParagraph"/>
      </w:pPr>
      <w:r>
        <w:rPr>
          <w:bCs/>
          <w:b/>
        </w:rPr>
        <w:t xml:space="preserve">The concept:</w:t>
      </w:r>
      <w:r>
        <w:rPr>
          <w:bCs/>
          <w:b/>
        </w:rPr>
        <w:t xml:space="preserve"> </w:t>
      </w:r>
      <w:r>
        <w:t xml:space="preserve">cash flow — the timing of money in and out; the game’s most important month.</w:t>
      </w:r>
    </w:p>
    <w:p>
      <w:pPr>
        <w:pStyle w:val="BodyText"/>
      </w:pPr>
      <w:r>
        <w:rPr>
          <w:bCs/>
          <w:b/>
        </w:rPr>
        <w:t xml:space="preserve">Ask the room:</w:t>
      </w:r>
    </w:p>
    <w:p>
      <w:pPr>
        <w:numPr>
          <w:ilvl w:val="0"/>
          <w:numId w:val="1006"/>
        </w:numPr>
      </w:pPr>
      <w:r>
        <w:t xml:space="preserve">The order makes £600 of profit. So why could saying yes sink the business?</w:t>
      </w:r>
    </w:p>
    <w:p>
      <w:pPr>
        <w:numPr>
          <w:ilvl w:val="0"/>
          <w:numId w:val="1006"/>
        </w:numPr>
      </w:pPr>
      <w:r>
        <w:t xml:space="preserve">Who has been paid late in real life? What happened, and how did it feel?</w:t>
      </w:r>
    </w:p>
    <w:p>
      <w:pPr>
        <w:numPr>
          <w:ilvl w:val="0"/>
          <w:numId w:val="1006"/>
        </w:numPr>
      </w:pPr>
      <w:r>
        <w:t xml:space="preserve">Why does asking for a deposit feel rude — and is it?</w:t>
      </w:r>
    </w:p>
    <w:p>
      <w:pPr>
        <w:pStyle w:val="FirstParagraph"/>
      </w:pPr>
      <w:r>
        <w:rPr>
          <w:bCs/>
          <w:b/>
        </w:rPr>
        <w:t xml:space="preserve">In the room:</w:t>
      </w:r>
      <w:r>
        <w:rPr>
          <w:bCs/>
          <w:b/>
        </w:rPr>
        <w:t xml:space="preserve"> </w:t>
      </w:r>
      <w:r>
        <w:t xml:space="preserve">Slow down here; this is the heart of the game. Draw the timeline on a flipchart: £900 out in April, £1,500 in — maybe — in June. Profitable on paper, dangerous in the bank. Most UK small-business failures trace back to cash flow, not lack of profit. The deposit option usually triggers the best discussion about confidence and negotiation.</w:t>
      </w:r>
    </w:p>
    <w:bookmarkEnd w:id="29"/>
    <w:bookmarkStart w:id="30" w:name="may-the-surprise-bill"/>
    <w:p>
      <w:pPr>
        <w:pStyle w:val="Heading2"/>
      </w:pPr>
      <w:r>
        <w:t xml:space="preserve">May — The surprise bill</w:t>
      </w:r>
    </w:p>
    <w:p>
      <w:pPr>
        <w:pStyle w:val="FirstParagraph"/>
      </w:pPr>
      <w:r>
        <w:rPr>
          <w:bCs/>
          <w:b/>
        </w:rPr>
        <w:t xml:space="preserve">The concept:</w:t>
      </w:r>
      <w:r>
        <w:rPr>
          <w:bCs/>
          <w:b/>
        </w:rPr>
        <w:t xml:space="preserve"> </w:t>
      </w:r>
      <w:r>
        <w:t xml:space="preserve">the cash buffer — why emergencies are a maths problem, not a moral failing.</w:t>
      </w:r>
    </w:p>
    <w:p>
      <w:pPr>
        <w:pStyle w:val="BodyText"/>
      </w:pPr>
      <w:r>
        <w:rPr>
          <w:bCs/>
          <w:b/>
        </w:rPr>
        <w:t xml:space="preserve">Ask the room:</w:t>
      </w:r>
    </w:p>
    <w:p>
      <w:pPr>
        <w:numPr>
          <w:ilvl w:val="0"/>
          <w:numId w:val="1007"/>
        </w:numPr>
      </w:pPr>
      <w:r>
        <w:t xml:space="preserve">What surprise costs have hit your business or could hit it?</w:t>
      </w:r>
    </w:p>
    <w:p>
      <w:pPr>
        <w:numPr>
          <w:ilvl w:val="0"/>
          <w:numId w:val="1007"/>
        </w:numPr>
      </w:pPr>
      <w:r>
        <w:t xml:space="preserve">What would a</w:t>
      </w:r>
      <w:r>
        <w:t xml:space="preserve"> </w:t>
      </w:r>
      <w:r>
        <w:t xml:space="preserve">‘</w:t>
      </w:r>
      <w:r>
        <w:t xml:space="preserve">boring but safe</w:t>
      </w:r>
      <w:r>
        <w:t xml:space="preserve">’</w:t>
      </w:r>
      <w:r>
        <w:t xml:space="preserve"> </w:t>
      </w:r>
      <w:r>
        <w:t xml:space="preserve">buffer look like for you — one month of costs? Three?</w:t>
      </w:r>
    </w:p>
    <w:p>
      <w:pPr>
        <w:numPr>
          <w:ilvl w:val="0"/>
          <w:numId w:val="1007"/>
        </w:numPr>
      </w:pPr>
      <w:r>
        <w:t xml:space="preserve">When is borrowing a sensible tool rather than a warning sign?</w:t>
      </w:r>
    </w:p>
    <w:p>
      <w:pPr>
        <w:pStyle w:val="FirstParagraph"/>
      </w:pPr>
      <w:r>
        <w:rPr>
          <w:bCs/>
          <w:b/>
        </w:rPr>
        <w:t xml:space="preserve">In the room:</w:t>
      </w:r>
      <w:r>
        <w:rPr>
          <w:bCs/>
          <w:b/>
        </w:rPr>
        <w:t xml:space="preserve"> </w:t>
      </w:r>
      <w:r>
        <w:t xml:space="preserve">Keep the tone practical, not preachy. The credit-card option is not</w:t>
      </w:r>
      <w:r>
        <w:t xml:space="preserve"> </w:t>
      </w:r>
      <w:r>
        <w:t xml:space="preserve">‘</w:t>
      </w:r>
      <w:r>
        <w:t xml:space="preserve">wrong</w:t>
      </w:r>
      <w:r>
        <w:t xml:space="preserve">’</w:t>
      </w:r>
      <w:r>
        <w:t xml:space="preserve"> </w:t>
      </w:r>
      <w:r>
        <w:t xml:space="preserve">— the lesson is seeing the £15 price tag on speed, and noticing when borrowing becomes routine.</w:t>
      </w:r>
    </w:p>
    <w:bookmarkEnd w:id="30"/>
    <w:bookmarkStart w:id="31" w:name="X3b8cbd5a020cbd9c5ea2b0545d6ff4a15e31219"/>
    <w:p>
      <w:pPr>
        <w:pStyle w:val="Heading2"/>
      </w:pPr>
      <w:r>
        <w:t xml:space="preserve">June — Getting paid (or building recurring income)</w:t>
      </w:r>
    </w:p>
    <w:p>
      <w:pPr>
        <w:pStyle w:val="FirstParagraph"/>
      </w:pPr>
      <w:r>
        <w:rPr>
          <w:bCs/>
          <w:b/>
        </w:rPr>
        <w:t xml:space="preserve">The concept:</w:t>
      </w:r>
      <w:r>
        <w:rPr>
          <w:bCs/>
          <w:b/>
        </w:rPr>
        <w:t xml:space="preserve"> </w:t>
      </w:r>
      <w:r>
        <w:t xml:space="preserve">credit control — politely making sure you are paid; or recurring revenue, depending on the April choice.</w:t>
      </w:r>
    </w:p>
    <w:p>
      <w:pPr>
        <w:pStyle w:val="BodyText"/>
      </w:pPr>
      <w:r>
        <w:rPr>
          <w:bCs/>
          <w:b/>
        </w:rPr>
        <w:t xml:space="preserve">Ask the room:</w:t>
      </w:r>
    </w:p>
    <w:p>
      <w:pPr>
        <w:numPr>
          <w:ilvl w:val="0"/>
          <w:numId w:val="1008"/>
        </w:numPr>
      </w:pPr>
      <w:r>
        <w:t xml:space="preserve">Why does chasing an invoice feel so uncomfortable? Whose money is it?</w:t>
      </w:r>
    </w:p>
    <w:p>
      <w:pPr>
        <w:numPr>
          <w:ilvl w:val="0"/>
          <w:numId w:val="1008"/>
        </w:numPr>
      </w:pPr>
      <w:r>
        <w:t xml:space="preserve">What exact words would you use in a payment reminder? Draft one line together.</w:t>
      </w:r>
    </w:p>
    <w:p>
      <w:pPr>
        <w:numPr>
          <w:ilvl w:val="0"/>
          <w:numId w:val="1008"/>
        </w:numPr>
      </w:pPr>
      <w:r>
        <w:t xml:space="preserve">(Recurring branch) What could recurring income look like in your business — a retainer, subscription, or standing order?</w:t>
      </w:r>
    </w:p>
    <w:p>
      <w:pPr>
        <w:pStyle w:val="FirstParagraph"/>
      </w:pPr>
      <w:r>
        <w:rPr>
          <w:bCs/>
          <w:b/>
        </w:rPr>
        <w:t xml:space="preserve">In the room:</w:t>
      </w:r>
      <w:r>
        <w:rPr>
          <w:bCs/>
          <w:b/>
        </w:rPr>
        <w:t xml:space="preserve"> </w:t>
      </w:r>
      <w:r>
        <w:t xml:space="preserve">Groups that took the big order meet the late payer; groups that declined meet the recurring-revenue offer — compare notes across teams if both happened. Drafting a real chasing email in the room converts theory into a tool people leave with.</w:t>
      </w:r>
    </w:p>
    <w:bookmarkEnd w:id="31"/>
    <w:bookmarkStart w:id="32" w:name="july-the-cost-of-your-own-time"/>
    <w:p>
      <w:pPr>
        <w:pStyle w:val="Heading2"/>
      </w:pPr>
      <w:r>
        <w:t xml:space="preserve">July — The cost of your own time</w:t>
      </w:r>
    </w:p>
    <w:p>
      <w:pPr>
        <w:pStyle w:val="FirstParagraph"/>
      </w:pPr>
      <w:r>
        <w:rPr>
          <w:bCs/>
          <w:b/>
        </w:rPr>
        <w:t xml:space="preserve">The concept:</w:t>
      </w:r>
      <w:r>
        <w:rPr>
          <w:bCs/>
          <w:b/>
        </w:rPr>
        <w:t xml:space="preserve"> </w:t>
      </w:r>
      <w:r>
        <w:t xml:space="preserve">your time as a cost — the number that never appears on a bank statement.</w:t>
      </w:r>
    </w:p>
    <w:p>
      <w:pPr>
        <w:pStyle w:val="BodyText"/>
      </w:pPr>
      <w:r>
        <w:rPr>
          <w:bCs/>
          <w:b/>
        </w:rPr>
        <w:t xml:space="preserve">Ask the room:</w:t>
      </w:r>
    </w:p>
    <w:p>
      <w:pPr>
        <w:numPr>
          <w:ilvl w:val="0"/>
          <w:numId w:val="1009"/>
        </w:numPr>
      </w:pPr>
      <w:r>
        <w:t xml:space="preserve">What is an hour of your time worth right now? What is it spent on?</w:t>
      </w:r>
    </w:p>
    <w:p>
      <w:pPr>
        <w:numPr>
          <w:ilvl w:val="0"/>
          <w:numId w:val="1009"/>
        </w:numPr>
      </w:pPr>
      <w:r>
        <w:t xml:space="preserve">The helper costs £120 and generates £150. Why does hiring still feel scary?</w:t>
      </w:r>
    </w:p>
    <w:p>
      <w:pPr>
        <w:numPr>
          <w:ilvl w:val="0"/>
          <w:numId w:val="1009"/>
        </w:numPr>
      </w:pPr>
      <w:r>
        <w:t xml:space="preserve">What task would you hand over first if help were free for a month?</w:t>
      </w:r>
    </w:p>
    <w:p>
      <w:pPr>
        <w:pStyle w:val="FirstParagraph"/>
      </w:pPr>
      <w:r>
        <w:rPr>
          <w:bCs/>
          <w:b/>
        </w:rPr>
        <w:t xml:space="preserve">In the room:</w:t>
      </w:r>
      <w:r>
        <w:rPr>
          <w:bCs/>
          <w:b/>
        </w:rPr>
        <w:t xml:space="preserve"> </w:t>
      </w:r>
      <w:r>
        <w:t xml:space="preserve">Many participants have never priced their own hours. The</w:t>
      </w:r>
      <w:r>
        <w:t xml:space="preserve"> </w:t>
      </w:r>
      <w:r>
        <w:t xml:space="preserve">‘</w:t>
      </w:r>
      <w:r>
        <w:t xml:space="preserve">grind through it</w:t>
      </w:r>
      <w:r>
        <w:t xml:space="preserve">’</w:t>
      </w:r>
      <w:r>
        <w:t xml:space="preserve"> </w:t>
      </w:r>
      <w:r>
        <w:t xml:space="preserve">option lets the group talk about burnout as a business cost, not a personal weakness.</w:t>
      </w:r>
    </w:p>
    <w:bookmarkEnd w:id="32"/>
    <w:bookmarkStart w:id="33" w:name="august-the-tax-pot"/>
    <w:p>
      <w:pPr>
        <w:pStyle w:val="Heading2"/>
      </w:pPr>
      <w:r>
        <w:t xml:space="preserve">August — The tax pot</w:t>
      </w:r>
    </w:p>
    <w:p>
      <w:pPr>
        <w:pStyle w:val="FirstParagraph"/>
      </w:pPr>
      <w:r>
        <w:rPr>
          <w:bCs/>
          <w:b/>
        </w:rPr>
        <w:t xml:space="preserve">The concept:</w:t>
      </w:r>
      <w:r>
        <w:rPr>
          <w:bCs/>
          <w:b/>
        </w:rPr>
        <w:t xml:space="preserve"> </w:t>
      </w:r>
      <w:r>
        <w:t xml:space="preserve">the tax pot — Self Assessment, HMRC, and why January should be boring.</w:t>
      </w:r>
    </w:p>
    <w:p>
      <w:pPr>
        <w:pStyle w:val="BodyText"/>
      </w:pPr>
      <w:r>
        <w:rPr>
          <w:bCs/>
          <w:b/>
        </w:rPr>
        <w:t xml:space="preserve">Ask the room:</w:t>
      </w:r>
    </w:p>
    <w:p>
      <w:pPr>
        <w:numPr>
          <w:ilvl w:val="0"/>
          <w:numId w:val="1010"/>
        </w:numPr>
      </w:pPr>
      <w:r>
        <w:t xml:space="preserve">Hands up: who has been surprised by a tax bill, or fears the first one?</w:t>
      </w:r>
    </w:p>
    <w:p>
      <w:pPr>
        <w:numPr>
          <w:ilvl w:val="0"/>
          <w:numId w:val="1010"/>
        </w:numPr>
      </w:pPr>
      <w:r>
        <w:t xml:space="preserve">What percentage feels right to set aside — and where would you keep it so it does not get spent?</w:t>
      </w:r>
    </w:p>
    <w:p>
      <w:pPr>
        <w:numPr>
          <w:ilvl w:val="0"/>
          <w:numId w:val="1010"/>
        </w:numPr>
      </w:pPr>
      <w:r>
        <w:t xml:space="preserve">Why does</w:t>
      </w:r>
      <w:r>
        <w:t xml:space="preserve"> </w:t>
      </w:r>
      <w:r>
        <w:t xml:space="preserve">‘</w:t>
      </w:r>
      <w:r>
        <w:t xml:space="preserve">profit is not all yours</w:t>
      </w:r>
      <w:r>
        <w:t xml:space="preserve">’</w:t>
      </w:r>
      <w:r>
        <w:t xml:space="preserve"> </w:t>
      </w:r>
      <w:r>
        <w:t xml:space="preserve">change how a good month feels?</w:t>
      </w:r>
    </w:p>
    <w:p>
      <w:pPr>
        <w:pStyle w:val="FirstParagraph"/>
      </w:pPr>
      <w:r>
        <w:rPr>
          <w:bCs/>
          <w:b/>
        </w:rPr>
        <w:t xml:space="preserve">In the room:</w:t>
      </w:r>
      <w:r>
        <w:rPr>
          <w:bCs/>
          <w:b/>
        </w:rPr>
        <w:t xml:space="preserve"> </w:t>
      </w:r>
      <w:r>
        <w:t xml:space="preserve">This month reliably surfaces real anxiety. Normalise it: nobody teaches this before you start. Practical takeaway: a separate account plus an automatic transfer of 20–25% of profit. Avoid giving specific tax advice — signpost to HMRC guidance or an accountant for individual situations.</w:t>
      </w:r>
    </w:p>
    <w:bookmarkEnd w:id="33"/>
    <w:bookmarkStart w:id="34" w:name="X24015b47983fa92df348e9b184c287a3aab8166"/>
    <w:p>
      <w:pPr>
        <w:pStyle w:val="Heading2"/>
      </w:pPr>
      <w:r>
        <w:t xml:space="preserve">September — The seasonal bet (stock and forecasting)</w:t>
      </w:r>
    </w:p>
    <w:p>
      <w:pPr>
        <w:pStyle w:val="FirstParagraph"/>
      </w:pPr>
      <w:r>
        <w:rPr>
          <w:bCs/>
          <w:b/>
        </w:rPr>
        <w:t xml:space="preserve">The concept:</w:t>
      </w:r>
      <w:r>
        <w:rPr>
          <w:bCs/>
          <w:b/>
        </w:rPr>
        <w:t xml:space="preserve"> </w:t>
      </w:r>
      <w:r>
        <w:t xml:space="preserve">stock and forecasting — cash frozen until it sells, sized by evidence rather than hope.</w:t>
      </w:r>
    </w:p>
    <w:p>
      <w:pPr>
        <w:pStyle w:val="BodyText"/>
      </w:pPr>
      <w:r>
        <w:rPr>
          <w:bCs/>
          <w:b/>
        </w:rPr>
        <w:t xml:space="preserve">Ask the room:</w:t>
      </w:r>
    </w:p>
    <w:p>
      <w:pPr>
        <w:numPr>
          <w:ilvl w:val="0"/>
          <w:numId w:val="1011"/>
        </w:numPr>
      </w:pPr>
      <w:r>
        <w:t xml:space="preserve">What is the difference between a forecast and a hope?</w:t>
      </w:r>
    </w:p>
    <w:p>
      <w:pPr>
        <w:numPr>
          <w:ilvl w:val="0"/>
          <w:numId w:val="1011"/>
        </w:numPr>
      </w:pPr>
      <w:r>
        <w:t xml:space="preserve">What evidence do you have (sales history, enquiries, followers) that could size a bet like this?</w:t>
      </w:r>
    </w:p>
    <w:p>
      <w:pPr>
        <w:numPr>
          <w:ilvl w:val="0"/>
          <w:numId w:val="1011"/>
        </w:numPr>
      </w:pPr>
      <w:r>
        <w:t xml:space="preserve">What does</w:t>
      </w:r>
      <w:r>
        <w:t xml:space="preserve"> </w:t>
      </w:r>
      <w:r>
        <w:t xml:space="preserve">‘</w:t>
      </w:r>
      <w:r>
        <w:t xml:space="preserve">no risk</w:t>
      </w:r>
      <w:r>
        <w:t xml:space="preserve">’</w:t>
      </w:r>
      <w:r>
        <w:t xml:space="preserve"> </w:t>
      </w:r>
      <w:r>
        <w:t xml:space="preserve">cost in December?</w:t>
      </w:r>
    </w:p>
    <w:p>
      <w:pPr>
        <w:pStyle w:val="FirstParagraph"/>
      </w:pPr>
      <w:r>
        <w:rPr>
          <w:bCs/>
          <w:b/>
        </w:rPr>
        <w:t xml:space="preserve">In the room:</w:t>
      </w:r>
      <w:r>
        <w:rPr>
          <w:bCs/>
          <w:b/>
        </w:rPr>
        <w:t xml:space="preserve"> </w:t>
      </w:r>
      <w:r>
        <w:t xml:space="preserve">The clever mechanic: the December outcome depends on the demand the team built all year. Teams with strong customer love can justify the big bet; teams without it cannot. That is forecasting in one move.</w:t>
      </w:r>
    </w:p>
    <w:bookmarkEnd w:id="34"/>
    <w:bookmarkStart w:id="35" w:name="october-price-pressure"/>
    <w:p>
      <w:pPr>
        <w:pStyle w:val="Heading2"/>
      </w:pPr>
      <w:r>
        <w:t xml:space="preserve">October — Price pressure</w:t>
      </w:r>
    </w:p>
    <w:p>
      <w:pPr>
        <w:pStyle w:val="FirstParagraph"/>
      </w:pPr>
      <w:r>
        <w:rPr>
          <w:bCs/>
          <w:b/>
        </w:rPr>
        <w:t xml:space="preserve">The concept:</w:t>
      </w:r>
      <w:r>
        <w:rPr>
          <w:bCs/>
          <w:b/>
        </w:rPr>
        <w:t xml:space="preserve"> </w:t>
      </w:r>
      <w:r>
        <w:t xml:space="preserve">defending margin — value versus price when someone undercuts you.</w:t>
      </w:r>
    </w:p>
    <w:p>
      <w:pPr>
        <w:pStyle w:val="BodyText"/>
      </w:pPr>
      <w:r>
        <w:rPr>
          <w:bCs/>
          <w:b/>
        </w:rPr>
        <w:t xml:space="preserve">Ask the room:</w:t>
      </w:r>
    </w:p>
    <w:p>
      <w:pPr>
        <w:numPr>
          <w:ilvl w:val="0"/>
          <w:numId w:val="1012"/>
        </w:numPr>
      </w:pPr>
      <w:r>
        <w:t xml:space="preserve">What is your honest first instinct when a competitor is cheaper — and why?</w:t>
      </w:r>
    </w:p>
    <w:p>
      <w:pPr>
        <w:numPr>
          <w:ilvl w:val="0"/>
          <w:numId w:val="1012"/>
        </w:numPr>
      </w:pPr>
      <w:r>
        <w:t xml:space="preserve">What do your customers actually buy from you that the cheap rival cannot copy?</w:t>
      </w:r>
    </w:p>
    <w:p>
      <w:pPr>
        <w:numPr>
          <w:ilvl w:val="0"/>
          <w:numId w:val="1012"/>
        </w:numPr>
      </w:pPr>
      <w:r>
        <w:t xml:space="preserve">What would a</w:t>
      </w:r>
      <w:r>
        <w:t xml:space="preserve"> </w:t>
      </w:r>
      <w:r>
        <w:t xml:space="preserve">‘</w:t>
      </w:r>
      <w:r>
        <w:t xml:space="preserve">go upmarket</w:t>
      </w:r>
      <w:r>
        <w:t xml:space="preserve">’</w:t>
      </w:r>
      <w:r>
        <w:t xml:space="preserve"> </w:t>
      </w:r>
      <w:r>
        <w:t xml:space="preserve">move look like in your business?</w:t>
      </w:r>
    </w:p>
    <w:p>
      <w:pPr>
        <w:pStyle w:val="FirstParagraph"/>
      </w:pPr>
      <w:r>
        <w:rPr>
          <w:bCs/>
          <w:b/>
        </w:rPr>
        <w:t xml:space="preserve">In the room:</w:t>
      </w:r>
      <w:r>
        <w:rPr>
          <w:bCs/>
          <w:b/>
        </w:rPr>
        <w:t xml:space="preserve"> </w:t>
      </w:r>
      <w:r>
        <w:t xml:space="preserve">Connect back to January: the group that priced confidently finds this month easier. Cutting price gives up margin permanently for customers who mostly were not price-shopping anyway.</w:t>
      </w:r>
    </w:p>
    <w:bookmarkEnd w:id="35"/>
    <w:bookmarkStart w:id="36" w:name="november-reserved-for-reflection"/>
    <w:p>
      <w:pPr>
        <w:pStyle w:val="Heading2"/>
      </w:pPr>
      <w:r>
        <w:t xml:space="preserve">November — Reserved for reflection</w:t>
      </w:r>
    </w:p>
    <w:p>
      <w:pPr>
        <w:pStyle w:val="FirstParagraph"/>
      </w:pPr>
      <w:r>
        <w:rPr>
          <w:bCs/>
          <w:b/>
        </w:rPr>
        <w:t xml:space="preserve">The concept:</w:t>
      </w:r>
      <w:r>
        <w:rPr>
          <w:bCs/>
          <w:b/>
        </w:rPr>
        <w:t xml:space="preserve"> </w:t>
      </w:r>
      <w:r>
        <w:t xml:space="preserve">a lighter month — use it for a mid-game pulse check.</w:t>
      </w:r>
    </w:p>
    <w:p>
      <w:pPr>
        <w:pStyle w:val="BodyText"/>
      </w:pPr>
      <w:r>
        <w:rPr>
          <w:bCs/>
          <w:b/>
        </w:rPr>
        <w:t xml:space="preserve">Ask the room:</w:t>
      </w:r>
    </w:p>
    <w:p>
      <w:pPr>
        <w:numPr>
          <w:ilvl w:val="0"/>
          <w:numId w:val="1013"/>
        </w:numPr>
      </w:pPr>
      <w:r>
        <w:t xml:space="preserve">Look at your tracker: is the bank balance where you expected? Which decision moved it most?</w:t>
      </w:r>
    </w:p>
    <w:p>
      <w:pPr>
        <w:numPr>
          <w:ilvl w:val="0"/>
          <w:numId w:val="1013"/>
        </w:numPr>
      </w:pPr>
      <w:r>
        <w:t xml:space="preserve">If you could replay one month, which one?</w:t>
      </w:r>
    </w:p>
    <w:p>
      <w:pPr>
        <w:pStyle w:val="FirstParagraph"/>
      </w:pPr>
      <w:r>
        <w:rPr>
          <w:bCs/>
          <w:b/>
        </w:rPr>
        <w:t xml:space="preserve">In the room:</w:t>
      </w:r>
      <w:r>
        <w:rPr>
          <w:bCs/>
          <w:b/>
        </w:rPr>
        <w:t xml:space="preserve"> </w:t>
      </w:r>
      <w:r>
        <w:t xml:space="preserve">In the digital game December plays automatically from the September bet. In a workshop, use the gap before the December reveal for prediction: ask each team to forecast their own December takings out loud, then compare with reality. Being publicly wrong about your own forecast is the fastest forecasting lesson there is.</w:t>
      </w:r>
    </w:p>
    <w:bookmarkEnd w:id="36"/>
    <w:bookmarkStart w:id="37" w:name="X80cffcb42a14a210145c7fb545903fa082b385b"/>
    <w:p>
      <w:pPr>
        <w:pStyle w:val="Heading2"/>
      </w:pPr>
      <w:r>
        <w:t xml:space="preserve">December &amp; the January letter — Payoff and tax</w:t>
      </w:r>
    </w:p>
    <w:p>
      <w:pPr>
        <w:pStyle w:val="FirstParagraph"/>
      </w:pPr>
      <w:r>
        <w:rPr>
          <w:bCs/>
          <w:b/>
        </w:rPr>
        <w:t xml:space="preserve">The concept:</w:t>
      </w:r>
      <w:r>
        <w:rPr>
          <w:bCs/>
          <w:b/>
        </w:rPr>
        <w:t xml:space="preserve"> </w:t>
      </w:r>
      <w:r>
        <w:t xml:space="preserve">consequences — the year’s decisions land at once.</w:t>
      </w:r>
    </w:p>
    <w:p>
      <w:pPr>
        <w:pStyle w:val="BodyText"/>
      </w:pPr>
      <w:r>
        <w:rPr>
          <w:bCs/>
          <w:b/>
        </w:rPr>
        <w:t xml:space="preserve">Ask the room:</w:t>
      </w:r>
    </w:p>
    <w:p>
      <w:pPr>
        <w:numPr>
          <w:ilvl w:val="0"/>
          <w:numId w:val="1014"/>
        </w:numPr>
      </w:pPr>
      <w:r>
        <w:t xml:space="preserve">Did December reward or punish your September bet? Was that luck or logic?</w:t>
      </w:r>
    </w:p>
    <w:p>
      <w:pPr>
        <w:numPr>
          <w:ilvl w:val="0"/>
          <w:numId w:val="1014"/>
        </w:numPr>
      </w:pPr>
      <w:r>
        <w:t xml:space="preserve">How did the tax bill feel for teams with a full pot, a small pot, and no pot?</w:t>
      </w:r>
    </w:p>
    <w:p>
      <w:pPr>
        <w:numPr>
          <w:ilvl w:val="0"/>
          <w:numId w:val="1014"/>
        </w:numPr>
      </w:pPr>
      <w:r>
        <w:t xml:space="preserve">Looking at the whole year: which single decision would you change?</w:t>
      </w:r>
    </w:p>
    <w:p>
      <w:pPr>
        <w:pStyle w:val="FirstParagraph"/>
      </w:pPr>
      <w:r>
        <w:rPr>
          <w:bCs/>
          <w:b/>
        </w:rPr>
        <w:t xml:space="preserve">In the room:</w:t>
      </w:r>
      <w:r>
        <w:rPr>
          <w:bCs/>
          <w:b/>
        </w:rPr>
        <w:t xml:space="preserve"> </w:t>
      </w:r>
      <w:r>
        <w:t xml:space="preserve">Let teams read out their endings — the contrast between a calm January (full tax pot) and a £700 shock in the quietest month teaches more than any slide. Close on the message that every</w:t>
      </w:r>
      <w:r>
        <w:t xml:space="preserve"> </w:t>
      </w:r>
      <w:r>
        <w:t xml:space="preserve">‘</w:t>
      </w:r>
      <w:r>
        <w:t xml:space="preserve">bad</w:t>
      </w:r>
      <w:r>
        <w:t xml:space="preserve">’</w:t>
      </w:r>
      <w:r>
        <w:t xml:space="preserve"> </w:t>
      </w:r>
      <w:r>
        <w:t xml:space="preserve">ending in the game is a cheap version of an expensive real lesson.</w:t>
      </w:r>
    </w:p>
    <w:bookmarkEnd w:id="37"/>
    <w:bookmarkEnd w:id="38"/>
    <w:bookmarkStart w:id="39" w:name="the-debrief"/>
    <w:p>
      <w:pPr>
        <w:pStyle w:val="Heading1"/>
      </w:pPr>
      <w:r>
        <w:t xml:space="preserve">6. The debrief</w:t>
      </w:r>
    </w:p>
    <w:p>
      <w:pPr>
        <w:pStyle w:val="FirstParagraph"/>
      </w:pPr>
      <w:r>
        <w:t xml:space="preserve">The debrief is where the game becomes real. Allow at least twenty minutes and resist the urge to summarise for the group — ask, then wait.</w:t>
      </w:r>
    </w:p>
    <w:p>
      <w:pPr>
        <w:numPr>
          <w:ilvl w:val="0"/>
          <w:numId w:val="1015"/>
        </w:numPr>
      </w:pPr>
      <w:r>
        <w:t xml:space="preserve">Which single decision moved your bank balance most? Was it the one you argued about longest?</w:t>
      </w:r>
    </w:p>
    <w:p>
      <w:pPr>
        <w:numPr>
          <w:ilvl w:val="0"/>
          <w:numId w:val="1015"/>
        </w:numPr>
      </w:pPr>
      <w:r>
        <w:t xml:space="preserve">Where did the game feel uncomfortably familiar?</w:t>
      </w:r>
    </w:p>
    <w:p>
      <w:pPr>
        <w:numPr>
          <w:ilvl w:val="0"/>
          <w:numId w:val="1015"/>
        </w:numPr>
      </w:pPr>
      <w:r>
        <w:t xml:space="preserve">What is one money word you would now be comfortable using in a real conversation with a bank, accountant or customer?</w:t>
      </w:r>
    </w:p>
    <w:p>
      <w:pPr>
        <w:numPr>
          <w:ilvl w:val="0"/>
          <w:numId w:val="1015"/>
        </w:numPr>
      </w:pPr>
      <w:r>
        <w:t xml:space="preserve">What will you do differently in your real business this month? Write it down before you leave.</w:t>
      </w:r>
    </w:p>
    <w:p>
      <w:pPr>
        <w:pStyle w:val="FirstParagraph"/>
      </w:pPr>
      <w:r>
        <w:rPr>
          <w:bCs/>
          <w:b/>
        </w:rPr>
        <w:t xml:space="preserve">Close on this:</w:t>
      </w:r>
      <w:r>
        <w:rPr>
          <w:bCs/>
          <w:b/>
        </w:rPr>
        <w:t xml:space="preserve"> </w:t>
      </w:r>
      <w:r>
        <w:t xml:space="preserve">the game’s numbers are small on purpose. The patterns — margin, timing, buffers, evidence — are identical at £1,000 and at £100,000. Confidence with the pattern is the point; the arithmetic is just division.</w:t>
      </w:r>
    </w:p>
    <w:bookmarkEnd w:id="39"/>
    <w:bookmarkStart w:id="40" w:name="creating-a-judgement-free-room"/>
    <w:p>
      <w:pPr>
        <w:pStyle w:val="Heading1"/>
      </w:pPr>
      <w:r>
        <w:t xml:space="preserve">7. Creating a judgement-free room</w:t>
      </w:r>
    </w:p>
    <w:p>
      <w:pPr>
        <w:pStyle w:val="FirstParagraph"/>
      </w:pPr>
      <w:r>
        <w:t xml:space="preserve">Money carries shame, and finance jargon has historically been used to exclude. A few working rules keep the room safe:</w:t>
      </w:r>
    </w:p>
    <w:p>
      <w:pPr>
        <w:numPr>
          <w:ilvl w:val="0"/>
          <w:numId w:val="1016"/>
        </w:numPr>
      </w:pPr>
      <w:r>
        <w:t xml:space="preserve">Name the rule out loud at the start: no question is too basic, and nobody explains anything with jargon — including the facilitator.</w:t>
      </w:r>
    </w:p>
    <w:p>
      <w:pPr>
        <w:numPr>
          <w:ilvl w:val="0"/>
          <w:numId w:val="1016"/>
        </w:numPr>
      </w:pPr>
      <w:r>
        <w:t xml:space="preserve">Treat in-game losses as wins: a team that goes into its overdraft has bought a real lesson for imaginary money. Celebrate it.</w:t>
      </w:r>
    </w:p>
    <w:p>
      <w:pPr>
        <w:numPr>
          <w:ilvl w:val="0"/>
          <w:numId w:val="1016"/>
        </w:numPr>
      </w:pPr>
      <w:r>
        <w:t xml:space="preserve">Never ask anyone to share real figures from their own business. Invite volunteered stories; do not require them.</w:t>
      </w:r>
    </w:p>
    <w:p>
      <w:pPr>
        <w:numPr>
          <w:ilvl w:val="0"/>
          <w:numId w:val="1016"/>
        </w:numPr>
      </w:pPr>
      <w:r>
        <w:t xml:space="preserve">Watch for the quiet participant who defers on every numbers decision — gently hand her the tracker sheet or the final call on one month.</w:t>
      </w:r>
    </w:p>
    <w:p>
      <w:pPr>
        <w:numPr>
          <w:ilvl w:val="0"/>
          <w:numId w:val="1016"/>
        </w:numPr>
      </w:pPr>
      <w:r>
        <w:t xml:space="preserve">Signpost, don’t advise: for individual tax, debt or legal questions, point to HMRC guidance, a qualified accountant, or free business-support services rather than answering personally.</w:t>
      </w:r>
    </w:p>
    <w:bookmarkEnd w:id="40"/>
    <w:bookmarkStart w:id="41" w:name="adapting-the-game"/>
    <w:p>
      <w:pPr>
        <w:pStyle w:val="Heading1"/>
      </w:pPr>
      <w:r>
        <w:t xml:space="preserve">8. Adapting the game</w:t>
      </w:r>
    </w:p>
    <w:p>
      <w:pPr>
        <w:pStyle w:val="FirstParagraph"/>
      </w:pPr>
      <w:r>
        <w:rPr>
          <w:bCs/>
          <w:b/>
        </w:rPr>
        <w:t xml:space="preserve">Business scenarios:</w:t>
      </w:r>
      <w:r>
        <w:rPr>
          <w:bCs/>
          <w:b/>
        </w:rPr>
        <w:t xml:space="preserve"> </w:t>
      </w:r>
      <w:r>
        <w:t xml:space="preserve">the digital game offers candles (product, postal), catering (service with events), consulting (pure time-based service), and an online boutique (retail with stock). All four share the same months and numbers, so mixed teams can compare directly. Consulting is the most useful second play: it reframes stock as unsold time and introduces day rates and retainers.</w:t>
      </w:r>
    </w:p>
    <w:p>
      <w:pPr>
        <w:pStyle w:val="BodyText"/>
      </w:pPr>
      <w:r>
        <w:rPr>
          <w:bCs/>
          <w:b/>
        </w:rPr>
        <w:t xml:space="preserve">Rooms without screens:</w:t>
      </w:r>
      <w:r>
        <w:rPr>
          <w:bCs/>
          <w:b/>
        </w:rPr>
        <w:t xml:space="preserve"> </w:t>
      </w:r>
      <w:r>
        <w:t xml:space="preserve">use the printed pack (candle scenario). Teams read each month card, argue, and commit before the facilitator reads the outcome for their choice from the outcomes pages. The paper money tracker replaces the on-screen bank balance — making the team do the adding is a feature, not a bug.</w:t>
      </w:r>
    </w:p>
    <w:p>
      <w:pPr>
        <w:pStyle w:val="BodyText"/>
      </w:pPr>
      <w:r>
        <w:rPr>
          <w:bCs/>
          <w:b/>
        </w:rPr>
        <w:t xml:space="preserve">Shorter sessions:</w:t>
      </w:r>
      <w:r>
        <w:rPr>
          <w:bCs/>
          <w:b/>
        </w:rPr>
        <w:t xml:space="preserve"> </w:t>
      </w:r>
      <w:r>
        <w:t xml:space="preserve">a 45-minute taster works with months 1, 4, 8 and 12 only (pricing, cash flow, tax pot, consequences) — give teams the</w:t>
      </w:r>
      <w:r>
        <w:t xml:space="preserve"> </w:t>
      </w:r>
      <w:r>
        <w:t xml:space="preserve">‘</w:t>
      </w:r>
      <w:r>
        <w:t xml:space="preserve">middle months</w:t>
      </w:r>
      <w:r>
        <w:t xml:space="preserve">’</w:t>
      </w:r>
      <w:r>
        <w:t xml:space="preserve"> </w:t>
      </w:r>
      <w:r>
        <w:t xml:space="preserve">outcomes as a one-line narration.</w:t>
      </w:r>
    </w:p>
    <w:p>
      <w:pPr>
        <w:pStyle w:val="BodyText"/>
      </w:pPr>
      <w:r>
        <w:rPr>
          <w:bCs/>
          <w:b/>
        </w:rPr>
        <w:t xml:space="preserve">Accessibility:</w:t>
      </w:r>
      <w:r>
        <w:rPr>
          <w:bCs/>
          <w:b/>
        </w:rPr>
        <w:t xml:space="preserve"> </w:t>
      </w:r>
      <w:r>
        <w:t xml:space="preserve">all key numbers appear in the text as well as the money tables; the printed pack uses large type; nothing in the game is timed. For mixed-language groups, the glossary page doubles as a translation anchor.</w:t>
      </w:r>
    </w:p>
    <w:bookmarkEnd w:id="41"/>
    <w:bookmarkStart w:id="42" w:name="quick-answers-to-tricky-questions"/>
    <w:p>
      <w:pPr>
        <w:pStyle w:val="Heading1"/>
      </w:pPr>
      <w:r>
        <w:t xml:space="preserve">9. Quick answers to tricky questions</w:t>
      </w:r>
    </w:p>
    <w:p>
      <w:pPr>
        <w:pStyle w:val="FirstParagraph"/>
      </w:pPr>
      <w:r>
        <w:rPr>
          <w:bCs/>
          <w:b/>
        </w:rPr>
        <w:t xml:space="preserve">“</w:t>
      </w:r>
      <w:r>
        <w:rPr>
          <w:bCs/>
          <w:b/>
        </w:rPr>
        <w:t xml:space="preserve">****Are these realistic numbers?****</w:t>
      </w:r>
      <w:r>
        <w:rPr>
          <w:bCs/>
          <w:b/>
        </w:rPr>
        <w:t xml:space="preserve">”</w:t>
      </w:r>
      <w:r>
        <w:t xml:space="preserve">** **They are deliberately simplified and small so the arithmetic never gets in the way of the pattern. The relationships between the numbers — margins, terms, percentages — are realistic.</w:t>
      </w:r>
    </w:p>
    <w:p>
      <w:pPr>
        <w:pStyle w:val="BodyText"/>
      </w:pPr>
      <w:r>
        <w:rPr>
          <w:bCs/>
          <w:b/>
        </w:rPr>
        <w:t xml:space="preserve">“</w:t>
      </w:r>
      <w:r>
        <w:rPr>
          <w:bCs/>
          <w:b/>
        </w:rPr>
        <w:t xml:space="preserve">****Is the tax figure right for me?****</w:t>
      </w:r>
      <w:r>
        <w:rPr>
          <w:bCs/>
          <w:b/>
        </w:rPr>
        <w:t xml:space="preserve">”</w:t>
      </w:r>
      <w:r>
        <w:t xml:space="preserve">** **The game teaches the habit (set aside 20–25% of profit), not a personal calculation. Individual answers depend on circumstances — signpost to HMRC’s Self Assessment guidance or an accountant.</w:t>
      </w:r>
    </w:p>
    <w:p>
      <w:pPr>
        <w:pStyle w:val="BodyText"/>
      </w:pPr>
      <w:r>
        <w:rPr>
          <w:bCs/>
          <w:b/>
        </w:rPr>
        <w:t xml:space="preserve">“</w:t>
      </w:r>
      <w:r>
        <w:rPr>
          <w:bCs/>
          <w:b/>
        </w:rPr>
        <w:t xml:space="preserve">****What about VAT / limited companies / grants?****</w:t>
      </w:r>
      <w:r>
        <w:rPr>
          <w:bCs/>
          <w:b/>
        </w:rPr>
        <w:t xml:space="preserve">”</w:t>
      </w:r>
      <w:r>
        <w:t xml:space="preserve">** **Out of scope on purpose: the game covers the money patterns every founder meets in year one. These make excellent follow-up session topics once the foundations feel solid.</w:t>
      </w:r>
    </w:p>
    <w:p>
      <w:pPr>
        <w:pStyle w:val="BodyText"/>
      </w:pPr>
      <w:r>
        <w:rPr>
          <w:bCs/>
          <w:b/>
        </w:rPr>
        <w:t xml:space="preserve">“</w:t>
      </w:r>
      <w:r>
        <w:rPr>
          <w:bCs/>
          <w:b/>
        </w:rPr>
        <w:t xml:space="preserve">****My real business is nothing like these.****</w:t>
      </w:r>
      <w:r>
        <w:rPr>
          <w:bCs/>
          <w:b/>
        </w:rPr>
        <w:t xml:space="preserve">”</w:t>
      </w:r>
      <w:r>
        <w:t xml:space="preserve">** **The four scenarios were chosen so the patterns transfer: product versus service, stock versus time, one-off versus recurring. Ask which month felt most familiar — there is always one.</w:t>
      </w:r>
    </w:p>
    <w:p>
      <w:pPr>
        <w:pStyle w:val="BodyText"/>
      </w:pPr>
      <w:r>
        <w:rPr>
          <w:bCs/>
          <w:b/>
        </w:rPr>
        <w:t xml:space="preserve">PathfoundHer</w:t>
      </w:r>
      <w:r>
        <w:t xml:space="preserve"> </w:t>
      </w:r>
      <w:r>
        <w:t xml:space="preserve">· Your First Year — Facilitator’s Guide</w:t>
      </w:r>
    </w:p>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2026-07-06T17:31:51Z</dcterms:created>
  <dcterms:modified xsi:type="dcterms:W3CDTF">2026-07-06T17:31:51Z</dcterms:modified>
</cp:coreProperties>
</file>

<file path=docProps/custom.xml><?xml version="1.0" encoding="utf-8"?>
<Properties xmlns="http://schemas.openxmlformats.org/officeDocument/2006/custom-properties" xmlns:vt="http://schemas.openxmlformats.org/officeDocument/2006/docPropsVTypes"/>
</file>